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Georgia" w:cs="Georgia" w:eastAsia="Georgia" w:hAnsi="Georgia"/>
          <w:color w:val="1C1B19"/>
          <w:sz w:val="40"/>
          <w:szCs w:val="40"/>
        </w:rPr>
        <w:t xml:space="preserve">M&amp;A Investment Committee Memo Template</w:t>
      </w:r>
    </w:p>
    <w:p>
      <w:pPr>
        <w:spacing w:after="40"/>
      </w:pPr>
      <w:r>
        <w:rPr>
          <w:rFonts w:ascii="Calibri" w:cs="Calibri" w:eastAsia="Calibri" w:hAnsi="Calibri"/>
          <w:b/>
          <w:bCs/>
          <w:color w:val="1C1B19"/>
          <w:sz w:val="21"/>
          <w:szCs w:val="21"/>
        </w:rPr>
        <w:t xml:space="preserve">Mike Ye — Practical M&amp;A Operating Library</w:t>
      </w:r>
    </w:p>
    <w:p>
      <w:pPr>
        <w:spacing w:after="160"/>
      </w:pPr>
      <w:r>
        <w:rPr>
          <w:rFonts w:ascii="Calibri" w:cs="Calibri" w:eastAsia="Calibri" w:hAnsi="Calibri"/>
          <w:color w:val="1C1B19"/>
          <w:sz w:val="21"/>
          <w:szCs w:val="21"/>
        </w:rPr>
        <w:t xml:space="preserve">Version 1.0 · September 10, 2026</w:t>
      </w:r>
    </w:p>
    <w:p>
      <w:pPr>
        <w:spacing w:after="160"/>
      </w:pPr>
      <w:r>
        <w:rPr>
          <w:rFonts w:ascii="Calibri" w:cs="Calibri" w:eastAsia="Calibri" w:hAnsi="Calibri"/>
          <w:color w:val="1C1B19"/>
          <w:sz w:val="21"/>
          <w:szCs w:val="21"/>
        </w:rPr>
        <w:t xml:space="preserve">Use this template to turn acquisition analysis into a decision. The memo should not retell the entire process. It should show what the buyer is being asked to approve, what must be believed for the deal to work, what the evidence supports, what remains unresolved, and what happens if the downside arrives.</w:t>
      </w:r>
    </w:p>
    <w:p>
      <w:pPr>
        <w:pStyle w:val="Heading1"/>
        <w:keepNext/>
        <w:pBdr>
          <w:bottom w:val="single" w:color="B9B3A7" w:sz="4" w:space="4"/>
        </w:pBdr>
        <w:spacing w:after="120" w:before="320"/>
      </w:pPr>
      <w:r>
        <w:rPr>
          <w:rFonts w:ascii="Georgia" w:cs="Georgia" w:eastAsia="Georgia" w:hAnsi="Georgia"/>
          <w:color w:val="1C1B19"/>
          <w:sz w:val="28"/>
          <w:szCs w:val="28"/>
        </w:rPr>
        <w:t xml:space="preserve">1. Decision ask</w:t>
      </w:r>
    </w:p>
    <w:p>
      <w:pPr>
        <w:spacing w:after="40"/>
      </w:pPr>
      <w:r>
        <w:rPr>
          <w:rFonts w:ascii="Calibri" w:cs="Calibri" w:eastAsia="Calibri" w:hAnsi="Calibri"/>
          <w:b/>
          <w:bCs/>
          <w:color w:val="1C1B19"/>
          <w:sz w:val="21"/>
          <w:szCs w:val="21"/>
        </w:rPr>
        <w:t xml:space="preserve">Target:</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[Company]</w:t>
      </w:r>
    </w:p>
    <w:p>
      <w:pPr>
        <w:spacing w:after="40"/>
      </w:pPr>
      <w:r>
        <w:rPr>
          <w:rFonts w:ascii="Calibri" w:cs="Calibri" w:eastAsia="Calibri" w:hAnsi="Calibri"/>
          <w:b/>
          <w:bCs/>
          <w:color w:val="1C1B19"/>
          <w:sz w:val="21"/>
          <w:szCs w:val="21"/>
        </w:rPr>
        <w:t xml:space="preserve">Buyer:</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[Company]</w:t>
      </w:r>
    </w:p>
    <w:p>
      <w:pPr>
        <w:spacing w:after="40"/>
      </w:pPr>
      <w:r>
        <w:rPr>
          <w:rFonts w:ascii="Calibri" w:cs="Calibri" w:eastAsia="Calibri" w:hAnsi="Calibri"/>
          <w:b/>
          <w:bCs/>
          <w:color w:val="1C1B19"/>
          <w:sz w:val="21"/>
          <w:szCs w:val="21"/>
        </w:rPr>
        <w:t xml:space="preserve">Current stage:</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[First look / LOI / Re-underwrite / Signing]</w:t>
      </w:r>
    </w:p>
    <w:p>
      <w:pPr>
        <w:spacing w:after="40"/>
      </w:pPr>
      <w:r>
        <w:rPr>
          <w:rFonts w:ascii="Calibri" w:cs="Calibri" w:eastAsia="Calibri" w:hAnsi="Calibri"/>
          <w:b/>
          <w:bCs/>
          <w:color w:val="1C1B19"/>
          <w:sz w:val="21"/>
          <w:szCs w:val="21"/>
        </w:rPr>
        <w:t xml:space="preserve">Decision requested:</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[Approve / Approve with conditions / Hold / Decline]</w:t>
      </w:r>
    </w:p>
    <w:p>
      <w:pPr>
        <w:spacing w:after="40"/>
      </w:pPr>
      <w:r>
        <w:rPr>
          <w:rFonts w:ascii="Calibri" w:cs="Calibri" w:eastAsia="Calibri" w:hAnsi="Calibri"/>
          <w:b/>
          <w:bCs/>
          <w:color w:val="1C1B19"/>
          <w:sz w:val="21"/>
          <w:szCs w:val="21"/>
        </w:rPr>
        <w:t xml:space="preserve">Proposed enterprise value:</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40"/>
      </w:pPr>
      <w:r>
        <w:rPr>
          <w:rFonts w:ascii="Calibri" w:cs="Calibri" w:eastAsia="Calibri" w:hAnsi="Calibri"/>
          <w:b/>
          <w:bCs/>
          <w:color w:val="1C1B19"/>
          <w:sz w:val="21"/>
          <w:szCs w:val="21"/>
        </w:rPr>
        <w:t xml:space="preserve">Private hard price ceiling:</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160"/>
      </w:pPr>
      <w:r>
        <w:rPr>
          <w:rFonts w:ascii="Calibri" w:cs="Calibri" w:eastAsia="Calibri" w:hAnsi="Calibri"/>
          <w:b/>
          <w:bCs/>
          <w:color w:val="1C1B19"/>
          <w:sz w:val="21"/>
          <w:szCs w:val="21"/>
        </w:rPr>
        <w:t xml:space="preserve">Recommendation:</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40"/>
      </w:pPr>
      <w:r>
        <w:rPr>
          <w:rFonts w:ascii="Calibri" w:cs="Calibri" w:eastAsia="Calibri" w:hAnsi="Calibri"/>
          <w:b/>
          <w:bCs/>
          <w:color w:val="1C1B19"/>
          <w:sz w:val="21"/>
          <w:szCs w:val="21"/>
        </w:rPr>
        <w:t xml:space="preserve">Why this decision is being requested now:</w:t>
      </w:r>
    </w:p>
    <w:p>
      <w:pPr>
        <w:spacing w:after="160"/>
      </w:pPr>
      <w:r>
        <w:rPr>
          <w:rFonts w:ascii="Calibri" w:cs="Calibri" w:eastAsia="Calibri" w:hAnsi="Calibri"/>
          <w:color w:val="6B665E"/>
          <w:sz w:val="21"/>
          <w:szCs w:val="21"/>
        </w:rPr>
        <w:t xml:space="preserve">[Two or three sentences. Name the next commitment of capital, time, exclusivity, reputation, or operating risk.]</w:t>
      </w:r>
    </w:p>
    <w:p>
      <w:pPr>
        <w:pStyle w:val="Heading1"/>
        <w:keepNext/>
        <w:pBdr>
          <w:bottom w:val="single" w:color="B9B3A7" w:sz="4" w:space="4"/>
        </w:pBdr>
        <w:spacing w:after="120" w:before="320"/>
      </w:pPr>
      <w:r>
        <w:rPr>
          <w:rFonts w:ascii="Georgia" w:cs="Georgia" w:eastAsia="Georgia" w:hAnsi="Georgia"/>
          <w:color w:val="1C1B19"/>
          <w:sz w:val="28"/>
          <w:szCs w:val="28"/>
        </w:rPr>
        <w:t xml:space="preserve">2. Transaction snapshot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7"/>
        <w:gridCol w:w="2254"/>
        <w:gridCol w:w="2919"/>
      </w:tblGrid>
      <w:tr>
        <w:trPr>
          <w:tblHeader/>
        </w:trPr>
        <w:tc>
          <w:tcPr>
            <w:tcW w:type="dxa" w:w="4907"/>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Item</w:t>
            </w:r>
          </w:p>
        </w:tc>
        <w:tc>
          <w:tcPr>
            <w:tcW w:type="dxa" w:w="2254"/>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Current view</w:t>
            </w:r>
          </w:p>
        </w:tc>
        <w:tc>
          <w:tcPr>
            <w:tcW w:type="dxa" w:w="2919"/>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Evidence / status</w:t>
            </w: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Seller / ownership</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Transaction perimeter</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Enterprise value</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Equity value</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Cash / stock / rollover</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Debt treatment</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Working-capital treatment</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Contingent consideration</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Financing</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Expected signing / close</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90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Required approvals / consents</w:t>
            </w:r>
          </w:p>
        </w:tc>
        <w:tc>
          <w:tcPr>
            <w:tcW w:type="dxa" w:w="225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91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bl>
    <w:p>
      <w:pPr>
        <w:spacing w:after="120"/>
      </w:pPr>
    </w:p>
    <w:p>
      <w:pPr>
        <w:pStyle w:val="Heading1"/>
        <w:keepNext/>
        <w:pBdr>
          <w:bottom w:val="single" w:color="B9B3A7" w:sz="4" w:space="4"/>
        </w:pBdr>
        <w:spacing w:after="120" w:before="320"/>
      </w:pPr>
      <w:r>
        <w:rPr>
          <w:rFonts w:ascii="Georgia" w:cs="Georgia" w:eastAsia="Georgia" w:hAnsi="Georgia"/>
          <w:color w:val="1C1B19"/>
          <w:sz w:val="28"/>
          <w:szCs w:val="28"/>
        </w:rPr>
        <w:t xml:space="preserve">3. Mandate fit and alternatives</w:t>
      </w:r>
    </w:p>
    <w:p>
      <w:pPr>
        <w:spacing w:after="160"/>
      </w:pPr>
      <w:r>
        <w:rPr>
          <w:rFonts w:ascii="Calibri" w:cs="Calibri" w:eastAsia="Calibri" w:hAnsi="Calibri"/>
          <w:b/>
          <w:bCs/>
          <w:color w:val="1C1B19"/>
          <w:sz w:val="21"/>
          <w:szCs w:val="21"/>
        </w:rPr>
        <w:t xml:space="preserve">Business need:</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[What problem or opportunity is the buyer trying to address?]</w:t>
      </w:r>
    </w:p>
    <w:p>
      <w:pPr>
        <w:spacing w:after="160"/>
      </w:pPr>
      <w:r>
        <w:rPr>
          <w:rFonts w:ascii="Calibri" w:cs="Calibri" w:eastAsia="Calibri" w:hAnsi="Calibri"/>
          <w:b/>
          <w:bCs/>
          <w:color w:val="1C1B19"/>
          <w:sz w:val="21"/>
          <w:szCs w:val="21"/>
        </w:rPr>
        <w:t xml:space="preserve">Why acquisition:</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[Why buy rather than build, partner, or do nothing?]</w:t>
      </w:r>
    </w:p>
    <w:p>
      <w:pPr>
        <w:spacing w:after="160"/>
      </w:pPr>
      <w:r>
        <w:rPr>
          <w:rFonts w:ascii="Calibri" w:cs="Calibri" w:eastAsia="Calibri" w:hAnsi="Calibri"/>
          <w:b/>
          <w:bCs/>
          <w:color w:val="1C1B19"/>
          <w:sz w:val="21"/>
          <w:szCs w:val="21"/>
        </w:rPr>
        <w:t xml:space="preserve">What must be true:</w:t>
      </w:r>
    </w:p>
    <w:p>
      <w:pPr>
        <w:pStyle w:val="ListParagraph"/>
        <w:numPr>
          <w:ilvl w:val="0"/>
          <w:numId w:val="2"/>
        </w:numPr>
        <w:spacing w:after="60"/>
      </w:pP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6B665E"/>
          <w:sz w:val="21"/>
          <w:szCs w:val="21"/>
        </w:rPr>
        <w:t xml:space="preserve">[ ]</w:t>
      </w:r>
    </w:p>
    <w:p>
      <w:pPr>
        <w:spacing w:after="80"/>
      </w:pPr>
    </w:p>
    <w:p>
      <w:pPr>
        <w:spacing w:after="160"/>
      </w:pPr>
      <w:r>
        <w:rPr>
          <w:rFonts w:ascii="Calibri" w:cs="Calibri" w:eastAsia="Calibri" w:hAnsi="Calibri"/>
          <w:b/>
          <w:bCs/>
          <w:color w:val="1C1B19"/>
          <w:sz w:val="21"/>
          <w:szCs w:val="21"/>
        </w:rPr>
        <w:t xml:space="preserve">What would break the mandate:</w:t>
      </w:r>
    </w:p>
    <w:p>
      <w:pPr>
        <w:pStyle w:val="ListParagraph"/>
        <w:numPr>
          <w:ilvl w:val="0"/>
          <w:numId w:val="2"/>
        </w:numPr>
        <w:spacing w:after="60"/>
      </w:pP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6B665E"/>
          <w:sz w:val="21"/>
          <w:szCs w:val="21"/>
        </w:rPr>
        <w:t xml:space="preserve">[ ]</w:t>
      </w:r>
    </w:p>
    <w:p>
      <w:pPr>
        <w:spacing w:after="80"/>
      </w:pPr>
    </w:p>
    <w:p>
      <w:pPr>
        <w:spacing w:after="160"/>
      </w:pPr>
      <w:r>
        <w:rPr>
          <w:rFonts w:ascii="Calibri" w:cs="Calibri" w:eastAsia="Calibri" w:hAnsi="Calibri"/>
          <w:b/>
          <w:bCs/>
          <w:color w:val="1C1B19"/>
          <w:sz w:val="21"/>
          <w:szCs w:val="21"/>
        </w:rPr>
        <w:t xml:space="preserve">Alternatives considered: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2352"/>
        <w:gridCol w:w="1232"/>
        <w:gridCol w:w="2352"/>
        <w:gridCol w:w="2128"/>
      </w:tblGrid>
      <w:tr>
        <w:trPr>
          <w:tblHeader/>
        </w:trPr>
        <w:tc>
          <w:tcPr>
            <w:tcW w:type="dxa" w:w="2016"/>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Route</w:t>
            </w:r>
          </w:p>
        </w:tc>
        <w:tc>
          <w:tcPr>
            <w:tcW w:type="dxa" w:w="2352"/>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What it delivers</w:t>
            </w:r>
          </w:p>
        </w:tc>
        <w:tc>
          <w:tcPr>
            <w:tcW w:type="dxa" w:w="1232"/>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Timing</w:t>
            </w:r>
          </w:p>
        </w:tc>
        <w:tc>
          <w:tcPr>
            <w:tcW w:type="dxa" w:w="2352"/>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Capital required</w:t>
            </w:r>
          </w:p>
        </w:tc>
        <w:tc>
          <w:tcPr>
            <w:tcW w:type="dxa" w:w="2128"/>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Key limitation</w:t>
            </w:r>
          </w:p>
        </w:tc>
      </w:tr>
      <w:tr>
        <w:trPr>
          <w:trHeight w:val="440" w:hRule="atLeast"/>
        </w:trPr>
        <w:tc>
          <w:tcPr>
            <w:tcW w:type="dxa" w:w="201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Buy target</w:t>
            </w:r>
          </w:p>
        </w:tc>
        <w:tc>
          <w:tcPr>
            <w:tcW w:type="dxa" w:w="235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23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35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1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201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Build</w:t>
            </w:r>
          </w:p>
        </w:tc>
        <w:tc>
          <w:tcPr>
            <w:tcW w:type="dxa" w:w="235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23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35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1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201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Partner</w:t>
            </w:r>
          </w:p>
        </w:tc>
        <w:tc>
          <w:tcPr>
            <w:tcW w:type="dxa" w:w="235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23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35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1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201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Do nothing</w:t>
            </w:r>
          </w:p>
        </w:tc>
        <w:tc>
          <w:tcPr>
            <w:tcW w:type="dxa" w:w="235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23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35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1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bl>
    <w:p>
      <w:pPr>
        <w:spacing w:after="120"/>
      </w:pPr>
    </w:p>
    <w:p>
      <w:pPr>
        <w:pStyle w:val="Heading1"/>
        <w:keepNext/>
        <w:pBdr>
          <w:bottom w:val="single" w:color="B9B3A7" w:sz="4" w:space="4"/>
        </w:pBdr>
        <w:spacing w:after="120" w:before="320"/>
      </w:pPr>
      <w:r>
        <w:rPr>
          <w:rFonts w:ascii="Georgia" w:cs="Georgia" w:eastAsia="Georgia" w:hAnsi="Georgia"/>
          <w:color w:val="1C1B19"/>
          <w:sz w:val="28"/>
          <w:szCs w:val="28"/>
        </w:rPr>
        <w:t xml:space="preserve">4. What we believe</w:t>
      </w:r>
    </w:p>
    <w:p>
      <w:pPr>
        <w:spacing w:after="160"/>
      </w:pPr>
      <w:r>
        <w:rPr>
          <w:rFonts w:ascii="Calibri" w:cs="Calibri" w:eastAsia="Calibri" w:hAnsi="Calibri"/>
          <w:color w:val="1C1B19"/>
          <w:sz w:val="21"/>
          <w:szCs w:val="21"/>
        </w:rPr>
        <w:t xml:space="preserve">Keep this to the 3–5 claims that carry the acquisition case. For each one, state the evidence and the strongest disconfirming fact.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86"/>
        <w:gridCol w:w="1578"/>
        <w:gridCol w:w="4372"/>
        <w:gridCol w:w="1944"/>
      </w:tblGrid>
      <w:tr>
        <w:trPr>
          <w:tblHeader/>
        </w:trPr>
        <w:tc>
          <w:tcPr>
            <w:tcW w:type="dxa" w:w="2186"/>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Claim</w:t>
            </w:r>
          </w:p>
        </w:tc>
        <w:tc>
          <w:tcPr>
            <w:tcW w:type="dxa" w:w="1578"/>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Evidence</w:t>
            </w:r>
          </w:p>
        </w:tc>
        <w:tc>
          <w:tcPr>
            <w:tcW w:type="dxa" w:w="4372"/>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Disconfirming evidence / caveat</w:t>
            </w:r>
          </w:p>
        </w:tc>
        <w:tc>
          <w:tcPr>
            <w:tcW w:type="dxa" w:w="1944"/>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Confidence</w:t>
            </w:r>
          </w:p>
        </w:tc>
      </w:tr>
      <w:tr>
        <w:trPr>
          <w:trHeight w:val="440" w:hRule="atLeast"/>
        </w:trPr>
        <w:tc>
          <w:tcPr>
            <w:tcW w:type="dxa" w:w="218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1.</w:t>
            </w:r>
          </w:p>
        </w:tc>
        <w:tc>
          <w:tcPr>
            <w:tcW w:type="dxa" w:w="157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43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4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High / Med / Low</w:t>
            </w:r>
          </w:p>
        </w:tc>
      </w:tr>
      <w:tr>
        <w:trPr>
          <w:trHeight w:val="440" w:hRule="atLeast"/>
        </w:trPr>
        <w:tc>
          <w:tcPr>
            <w:tcW w:type="dxa" w:w="218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2.</w:t>
            </w:r>
          </w:p>
        </w:tc>
        <w:tc>
          <w:tcPr>
            <w:tcW w:type="dxa" w:w="157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43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4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High / Med / Low</w:t>
            </w:r>
          </w:p>
        </w:tc>
      </w:tr>
      <w:tr>
        <w:trPr>
          <w:trHeight w:val="440" w:hRule="atLeast"/>
        </w:trPr>
        <w:tc>
          <w:tcPr>
            <w:tcW w:type="dxa" w:w="218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3.</w:t>
            </w:r>
          </w:p>
        </w:tc>
        <w:tc>
          <w:tcPr>
            <w:tcW w:type="dxa" w:w="157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43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4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High / Med / Low</w:t>
            </w:r>
          </w:p>
        </w:tc>
      </w:tr>
      <w:tr>
        <w:trPr>
          <w:trHeight w:val="440" w:hRule="atLeast"/>
        </w:trPr>
        <w:tc>
          <w:tcPr>
            <w:tcW w:type="dxa" w:w="218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4.</w:t>
            </w:r>
          </w:p>
        </w:tc>
        <w:tc>
          <w:tcPr>
            <w:tcW w:type="dxa" w:w="157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43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4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High / Med / Low</w:t>
            </w:r>
          </w:p>
        </w:tc>
      </w:tr>
    </w:tbl>
    <w:p>
      <w:pPr>
        <w:spacing w:after="120"/>
      </w:pPr>
    </w:p>
    <w:p>
      <w:pPr>
        <w:pStyle w:val="Heading1"/>
        <w:keepNext/>
        <w:pBdr>
          <w:bottom w:val="single" w:color="B9B3A7" w:sz="4" w:space="4"/>
        </w:pBdr>
        <w:spacing w:after="120" w:before="320"/>
      </w:pPr>
      <w:r>
        <w:rPr>
          <w:rFonts w:ascii="Georgia" w:cs="Georgia" w:eastAsia="Georgia" w:hAnsi="Georgia"/>
          <w:color w:val="1C1B19"/>
          <w:sz w:val="28"/>
          <w:szCs w:val="28"/>
        </w:rPr>
        <w:t xml:space="preserve">5. Standalone economics and valuation</w:t>
      </w:r>
    </w:p>
    <w:p>
      <w:pPr>
        <w:spacing w:after="160"/>
      </w:pPr>
      <w:r>
        <w:rPr>
          <w:rFonts w:ascii="Calibri" w:cs="Calibri" w:eastAsia="Calibri" w:hAnsi="Calibri"/>
          <w:color w:val="1C1B19"/>
          <w:sz w:val="21"/>
          <w:szCs w:val="21"/>
        </w:rPr>
        <w:t xml:space="preserve">Value the business the seller is delivering before adding buyer-created upside.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10"/>
        <w:gridCol w:w="1260"/>
        <w:gridCol w:w="1638"/>
        <w:gridCol w:w="2772"/>
      </w:tblGrid>
      <w:tr>
        <w:trPr>
          <w:tblHeader/>
        </w:trPr>
        <w:tc>
          <w:tcPr>
            <w:tcW w:type="dxa" w:w="441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Measure</w:t>
            </w:r>
          </w:p>
        </w:tc>
        <w:tc>
          <w:tcPr>
            <w:tcW w:type="dxa" w:w="126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Base</w:t>
            </w:r>
          </w:p>
        </w:tc>
        <w:tc>
          <w:tcPr>
            <w:tcW w:type="dxa" w:w="1638"/>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Downside</w:t>
            </w:r>
          </w:p>
        </w:tc>
        <w:tc>
          <w:tcPr>
            <w:tcW w:type="dxa" w:w="2772"/>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Evidence / source</w:t>
            </w:r>
          </w:p>
        </w:tc>
      </w:tr>
      <w:tr>
        <w:trPr>
          <w:trHeight w:val="440" w:hRule="atLeast"/>
        </w:trPr>
        <w:tc>
          <w:tcPr>
            <w:tcW w:type="dxa" w:w="441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Revenue</w:t>
            </w:r>
          </w:p>
        </w:tc>
        <w:tc>
          <w:tcPr>
            <w:tcW w:type="dxa" w:w="12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63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7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41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EBITDA / operating profit</w:t>
            </w:r>
          </w:p>
        </w:tc>
        <w:tc>
          <w:tcPr>
            <w:tcW w:type="dxa" w:w="12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63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7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41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Free cash flow</w:t>
            </w:r>
          </w:p>
        </w:tc>
        <w:tc>
          <w:tcPr>
            <w:tcW w:type="dxa" w:w="12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63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7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41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Required capex / investment</w:t>
            </w:r>
          </w:p>
        </w:tc>
        <w:tc>
          <w:tcPr>
            <w:tcW w:type="dxa" w:w="12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63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7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41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Working-capital need</w:t>
            </w:r>
          </w:p>
        </w:tc>
        <w:tc>
          <w:tcPr>
            <w:tcW w:type="dxa" w:w="12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63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7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41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Standalone enterprise value</w:t>
            </w:r>
          </w:p>
        </w:tc>
        <w:tc>
          <w:tcPr>
            <w:tcW w:type="dxa" w:w="12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63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7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41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Proposed enterprise value</w:t>
            </w:r>
          </w:p>
        </w:tc>
        <w:tc>
          <w:tcPr>
            <w:tcW w:type="dxa" w:w="12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63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7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441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Premium / discount</w:t>
            </w:r>
          </w:p>
        </w:tc>
        <w:tc>
          <w:tcPr>
            <w:tcW w:type="dxa" w:w="12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63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2772"/>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bl>
    <w:p>
      <w:pPr>
        <w:spacing w:after="120"/>
      </w:pPr>
    </w:p>
    <w:p>
      <w:pPr>
        <w:spacing w:after="160"/>
      </w:pPr>
      <w:r>
        <w:rPr>
          <w:rFonts w:ascii="Calibri" w:cs="Calibri" w:eastAsia="Calibri" w:hAnsi="Calibri"/>
          <w:b/>
          <w:bCs/>
          <w:color w:val="1C1B19"/>
          <w:sz w:val="21"/>
          <w:szCs w:val="21"/>
        </w:rPr>
        <w:t xml:space="preserve">Valuation methods used:</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[Trading comps / DCF / precedents / SOTP / other]</w:t>
      </w:r>
    </w:p>
    <w:p>
      <w:pPr>
        <w:spacing w:after="40"/>
      </w:pPr>
      <w:r>
        <w:rPr>
          <w:rFonts w:ascii="Calibri" w:cs="Calibri" w:eastAsia="Calibri" w:hAnsi="Calibri"/>
          <w:b/>
          <w:bCs/>
          <w:color w:val="1C1B19"/>
          <w:sz w:val="21"/>
          <w:szCs w:val="21"/>
        </w:rPr>
        <w:t xml:space="preserve">Valuation judgment:</w:t>
      </w:r>
    </w:p>
    <w:p>
      <w:pPr>
        <w:spacing w:after="160"/>
      </w:pPr>
      <w:r>
        <w:rPr>
          <w:rFonts w:ascii="Calibri" w:cs="Calibri" w:eastAsia="Calibri" w:hAnsi="Calibri"/>
          <w:color w:val="6B665E"/>
          <w:sz w:val="21"/>
          <w:szCs w:val="21"/>
        </w:rPr>
        <w:t xml:space="preserve">[Explain why the target belongs above, below, or within the selected range. Do not average methods merely because they disagree.]</w:t>
      </w:r>
    </w:p>
    <w:p>
      <w:pPr>
        <w:pStyle w:val="Heading1"/>
        <w:keepNext/>
        <w:pBdr>
          <w:bottom w:val="single" w:color="B9B3A7" w:sz="4" w:space="4"/>
        </w:pBdr>
        <w:spacing w:after="120" w:before="320"/>
      </w:pPr>
      <w:r>
        <w:rPr>
          <w:rFonts w:ascii="Georgia" w:cs="Georgia" w:eastAsia="Georgia" w:hAnsi="Georgia"/>
          <w:color w:val="1C1B19"/>
          <w:sz w:val="28"/>
          <w:szCs w:val="28"/>
        </w:rPr>
        <w:t xml:space="preserve">6. Buyer-created value and synergies</w:t>
      </w:r>
    </w:p>
    <w:p>
      <w:pPr>
        <w:spacing w:after="160"/>
      </w:pPr>
      <w:r>
        <w:rPr>
          <w:rFonts w:ascii="Calibri" w:cs="Calibri" w:eastAsia="Calibri" w:hAnsi="Calibri"/>
          <w:color w:val="1C1B19"/>
          <w:sz w:val="21"/>
          <w:szCs w:val="21"/>
        </w:rPr>
        <w:t xml:space="preserve">Keep buyer-created value separate from standalone value.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25"/>
        <w:gridCol w:w="1428"/>
        <w:gridCol w:w="1428"/>
        <w:gridCol w:w="873"/>
        <w:gridCol w:w="1825"/>
        <w:gridCol w:w="1904"/>
        <w:gridCol w:w="797"/>
      </w:tblGrid>
      <w:tr>
        <w:trPr>
          <w:tblHeader/>
        </w:trPr>
        <w:tc>
          <w:tcPr>
            <w:tcW w:type="dxa" w:w="1825"/>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Initiative</w:t>
            </w:r>
          </w:p>
        </w:tc>
        <w:tc>
          <w:tcPr>
            <w:tcW w:type="dxa" w:w="1428"/>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Gross benefit</w:t>
            </w:r>
          </w:p>
        </w:tc>
        <w:tc>
          <w:tcPr>
            <w:tcW w:type="dxa" w:w="1428"/>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Delivery cost</w:t>
            </w:r>
          </w:p>
        </w:tc>
        <w:tc>
          <w:tcPr>
            <w:tcW w:type="dxa" w:w="873"/>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Timing</w:t>
            </w:r>
          </w:p>
        </w:tc>
        <w:tc>
          <w:tcPr>
            <w:tcW w:type="dxa" w:w="1825"/>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Probability / risk</w:t>
            </w:r>
          </w:p>
        </w:tc>
        <w:tc>
          <w:tcPr>
            <w:tcW w:type="dxa" w:w="1904"/>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Risk-adjusted value</w:t>
            </w:r>
          </w:p>
        </w:tc>
        <w:tc>
          <w:tcPr>
            <w:tcW w:type="dxa" w:w="797"/>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Owner</w:t>
            </w:r>
          </w:p>
        </w:tc>
      </w:tr>
      <w:tr>
        <w:trPr>
          <w:trHeight w:val="440" w:hRule="atLeast"/>
        </w:trPr>
        <w:tc>
          <w:tcPr>
            <w:tcW w:type="dxa" w:w="182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1.</w:t>
            </w:r>
          </w:p>
        </w:tc>
        <w:tc>
          <w:tcPr>
            <w:tcW w:type="dxa" w:w="14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4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873"/>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82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0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79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182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2.</w:t>
            </w:r>
          </w:p>
        </w:tc>
        <w:tc>
          <w:tcPr>
            <w:tcW w:type="dxa" w:w="14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4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873"/>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82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0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79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182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3.</w:t>
            </w:r>
          </w:p>
        </w:tc>
        <w:tc>
          <w:tcPr>
            <w:tcW w:type="dxa" w:w="14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14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873"/>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82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0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right"/>
            </w:pPr>
          </w:p>
        </w:tc>
        <w:tc>
          <w:tcPr>
            <w:tcW w:type="dxa" w:w="79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bl>
    <w:p>
      <w:pPr>
        <w:spacing w:after="120"/>
      </w:pPr>
    </w:p>
    <w:p>
      <w:pPr>
        <w:spacing w:after="160"/>
      </w:pPr>
      <w:r>
        <w:rPr>
          <w:rFonts w:ascii="Calibri" w:cs="Calibri" w:eastAsia="Calibri" w:hAnsi="Calibri"/>
          <w:b/>
          <w:bCs/>
          <w:color w:val="1C1B19"/>
          <w:sz w:val="21"/>
          <w:szCs w:val="21"/>
        </w:rPr>
        <w:t xml:space="preserve">Seller sharing decision:</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[How much, if any, buyer-created value is intentionally reflected in price? Why?]</w:t>
      </w:r>
    </w:p>
    <w:p>
      <w:pPr>
        <w:pStyle w:val="Heading1"/>
        <w:keepNext/>
        <w:pBdr>
          <w:bottom w:val="single" w:color="B9B3A7" w:sz="4" w:space="4"/>
        </w:pBdr>
        <w:spacing w:after="120" w:before="320"/>
      </w:pPr>
      <w:r>
        <w:rPr>
          <w:rFonts w:ascii="Georgia" w:cs="Georgia" w:eastAsia="Georgia" w:hAnsi="Georgia"/>
          <w:color w:val="1C1B19"/>
          <w:sz w:val="28"/>
          <w:szCs w:val="28"/>
        </w:rPr>
        <w:t xml:space="preserve">7. Funding, affordability, and downside survivability</w:t>
      </w:r>
    </w:p>
    <w:p>
      <w:pPr>
        <w:spacing w:after="160"/>
      </w:pPr>
      <w:r>
        <w:rPr>
          <w:rFonts w:ascii="Calibri" w:cs="Calibri" w:eastAsia="Calibri" w:hAnsi="Calibri"/>
          <w:b/>
          <w:bCs/>
          <w:color w:val="1C1B19"/>
          <w:sz w:val="21"/>
          <w:szCs w:val="21"/>
        </w:rPr>
        <w:t xml:space="preserve">Funding plan:</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[Cash / debt / equity / combination]</w:t>
      </w:r>
    </w:p>
    <w:p>
      <w:pPr>
        <w:spacing w:after="40"/>
      </w:pPr>
      <w:r>
        <w:rPr>
          <w:rFonts w:ascii="Calibri" w:cs="Calibri" w:eastAsia="Calibri" w:hAnsi="Calibri"/>
          <w:b/>
          <w:bCs/>
          <w:color w:val="1C1B19"/>
          <w:sz w:val="21"/>
          <w:szCs w:val="21"/>
        </w:rPr>
        <w:t xml:space="preserve">Affordable price:</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40"/>
      </w:pPr>
      <w:r>
        <w:rPr>
          <w:rFonts w:ascii="Calibri" w:cs="Calibri" w:eastAsia="Calibri" w:hAnsi="Calibri"/>
          <w:b/>
          <w:bCs/>
          <w:color w:val="1C1B19"/>
          <w:sz w:val="21"/>
          <w:szCs w:val="21"/>
        </w:rPr>
        <w:t xml:space="preserve">Return-supported price:</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160"/>
      </w:pPr>
      <w:r>
        <w:rPr>
          <w:rFonts w:ascii="Calibri" w:cs="Calibri" w:eastAsia="Calibri" w:hAnsi="Calibri"/>
          <w:b/>
          <w:bCs/>
          <w:color w:val="1C1B19"/>
          <w:sz w:val="21"/>
          <w:szCs w:val="21"/>
        </w:rPr>
        <w:t xml:space="preserve">Private hard walk-away price:</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160"/>
      </w:pPr>
      <w:r>
        <w:rPr>
          <w:rFonts w:ascii="Calibri" w:cs="Calibri" w:eastAsia="Calibri" w:hAnsi="Calibri"/>
          <w:color w:val="1C1B19"/>
          <w:sz w:val="21"/>
          <w:szCs w:val="21"/>
        </w:rPr>
        <w:t xml:space="preserve">Stress revenue and margin together. Carry the shock through cash flow, financing, required investment, and liquidity.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60"/>
        <w:gridCol w:w="1800"/>
        <w:gridCol w:w="1920"/>
        <w:gridCol w:w="2400"/>
      </w:tblGrid>
      <w:tr>
        <w:trPr>
          <w:tblHeader/>
        </w:trPr>
        <w:tc>
          <w:tcPr>
            <w:tcW w:type="dxa" w:w="396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Downside test</w:t>
            </w:r>
          </w:p>
        </w:tc>
        <w:tc>
          <w:tcPr>
            <w:tcW w:type="dxa" w:w="180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Assumption</w:t>
            </w:r>
          </w:p>
        </w:tc>
        <w:tc>
          <w:tcPr>
            <w:tcW w:type="dxa" w:w="192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Consequence</w:t>
            </w:r>
          </w:p>
        </w:tc>
        <w:tc>
          <w:tcPr>
            <w:tcW w:type="dxa" w:w="240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Decision impact</w:t>
            </w:r>
          </w:p>
        </w:tc>
      </w:tr>
      <w:tr>
        <w:trPr>
          <w:trHeight w:val="440" w:hRule="atLeast"/>
        </w:trPr>
        <w:tc>
          <w:tcPr>
            <w:tcW w:type="dxa" w:w="39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Revenue decline</w:t>
            </w:r>
          </w:p>
        </w:tc>
        <w:tc>
          <w:tcPr>
            <w:tcW w:type="dxa" w:w="18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2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4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39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Margin compression</w:t>
            </w:r>
          </w:p>
        </w:tc>
        <w:tc>
          <w:tcPr>
            <w:tcW w:type="dxa" w:w="18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2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4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39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Synergy delay / shortfall</w:t>
            </w:r>
          </w:p>
        </w:tc>
        <w:tc>
          <w:tcPr>
            <w:tcW w:type="dxa" w:w="18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2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4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39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Integration cost overrun</w:t>
            </w:r>
          </w:p>
        </w:tc>
        <w:tc>
          <w:tcPr>
            <w:tcW w:type="dxa" w:w="18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2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4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39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Financing change</w:t>
            </w:r>
          </w:p>
        </w:tc>
        <w:tc>
          <w:tcPr>
            <w:tcW w:type="dxa" w:w="18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2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4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39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Customer / talent loss</w:t>
            </w:r>
          </w:p>
        </w:tc>
        <w:tc>
          <w:tcPr>
            <w:tcW w:type="dxa" w:w="18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92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40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bl>
    <w:p>
      <w:pPr>
        <w:spacing w:after="120"/>
      </w:pPr>
    </w:p>
    <w:p>
      <w:pPr>
        <w:pStyle w:val="Heading1"/>
        <w:keepNext/>
        <w:pBdr>
          <w:bottom w:val="single" w:color="B9B3A7" w:sz="4" w:space="4"/>
        </w:pBdr>
        <w:spacing w:after="120" w:before="320"/>
      </w:pPr>
      <w:r>
        <w:rPr>
          <w:rFonts w:ascii="Georgia" w:cs="Georgia" w:eastAsia="Georgia" w:hAnsi="Georgia"/>
          <w:color w:val="1C1B19"/>
          <w:sz w:val="28"/>
          <w:szCs w:val="28"/>
        </w:rPr>
        <w:t xml:space="preserve">8. Diligence and risk register</w:t>
      </w:r>
    </w:p>
    <w:p>
      <w:pPr>
        <w:spacing w:after="160"/>
      </w:pPr>
      <w:r>
        <w:rPr>
          <w:rFonts w:ascii="Calibri" w:cs="Calibri" w:eastAsia="Calibri" w:hAnsi="Calibri"/>
          <w:color w:val="1C1B19"/>
          <w:sz w:val="21"/>
          <w:szCs w:val="21"/>
        </w:rPr>
        <w:t xml:space="preserve">Every material issue gets a consequence: </w:t>
      </w:r>
      <w:r>
        <w:rPr>
          <w:rFonts w:ascii="Calibri" w:cs="Calibri" w:eastAsia="Calibri" w:hAnsi="Calibri"/>
          <w:b/>
          <w:bCs/>
          <w:color w:val="1C1B19"/>
          <w:sz w:val="21"/>
          <w:szCs w:val="21"/>
        </w:rPr>
        <w:t xml:space="preserve">Investigate, Price, Protect, or Walk.</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64"/>
        <w:gridCol w:w="1515"/>
        <w:gridCol w:w="2728"/>
        <w:gridCol w:w="757"/>
        <w:gridCol w:w="2880"/>
        <w:gridCol w:w="836"/>
      </w:tblGrid>
      <w:tr>
        <w:trPr>
          <w:tblHeader/>
        </w:trPr>
        <w:tc>
          <w:tcPr>
            <w:tcW w:type="dxa" w:w="1364"/>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Issue</w:t>
            </w:r>
          </w:p>
        </w:tc>
        <w:tc>
          <w:tcPr>
            <w:tcW w:type="dxa" w:w="1515"/>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Evidence needed</w:t>
            </w:r>
          </w:p>
        </w:tc>
        <w:tc>
          <w:tcPr>
            <w:tcW w:type="dxa" w:w="2728"/>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Action</w:t>
            </w:r>
          </w:p>
        </w:tc>
        <w:tc>
          <w:tcPr>
            <w:tcW w:type="dxa" w:w="757"/>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Owner</w:t>
            </w:r>
          </w:p>
        </w:tc>
        <w:tc>
          <w:tcPr>
            <w:tcW w:type="dxa" w:w="288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Price / structure / integration impact</w:t>
            </w:r>
          </w:p>
        </w:tc>
        <w:tc>
          <w:tcPr>
            <w:tcW w:type="dxa" w:w="836"/>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Status</w:t>
            </w:r>
          </w:p>
        </w:tc>
      </w:tr>
      <w:tr>
        <w:trPr>
          <w:trHeight w:val="440" w:hRule="atLeast"/>
        </w:trPr>
        <w:tc>
          <w:tcPr>
            <w:tcW w:type="dxa" w:w="136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1.</w:t>
            </w:r>
          </w:p>
        </w:tc>
        <w:tc>
          <w:tcPr>
            <w:tcW w:type="dxa" w:w="151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7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Investigate / Price / Protect / Walk</w:t>
            </w:r>
          </w:p>
        </w:tc>
        <w:tc>
          <w:tcPr>
            <w:tcW w:type="dxa" w:w="75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88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83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136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2.</w:t>
            </w:r>
          </w:p>
        </w:tc>
        <w:tc>
          <w:tcPr>
            <w:tcW w:type="dxa" w:w="151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7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Investigate / Price / Protect / Walk</w:t>
            </w:r>
          </w:p>
        </w:tc>
        <w:tc>
          <w:tcPr>
            <w:tcW w:type="dxa" w:w="75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88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83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136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3.</w:t>
            </w:r>
          </w:p>
        </w:tc>
        <w:tc>
          <w:tcPr>
            <w:tcW w:type="dxa" w:w="151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7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Investigate / Price / Protect / Walk</w:t>
            </w:r>
          </w:p>
        </w:tc>
        <w:tc>
          <w:tcPr>
            <w:tcW w:type="dxa" w:w="75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88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83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136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4.</w:t>
            </w:r>
          </w:p>
        </w:tc>
        <w:tc>
          <w:tcPr>
            <w:tcW w:type="dxa" w:w="1515"/>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728"/>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Investigate / Price / Protect / Walk</w:t>
            </w:r>
          </w:p>
        </w:tc>
        <w:tc>
          <w:tcPr>
            <w:tcW w:type="dxa" w:w="757"/>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88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83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bl>
    <w:p>
      <w:pPr>
        <w:spacing w:after="120"/>
      </w:pPr>
    </w:p>
    <w:p>
      <w:pPr>
        <w:pStyle w:val="Heading1"/>
        <w:keepNext/>
        <w:pBdr>
          <w:bottom w:val="single" w:color="B9B3A7" w:sz="4" w:space="4"/>
        </w:pBdr>
        <w:spacing w:after="120" w:before="320"/>
      </w:pPr>
      <w:r>
        <w:rPr>
          <w:rFonts w:ascii="Georgia" w:cs="Georgia" w:eastAsia="Georgia" w:hAnsi="Georgia"/>
          <w:color w:val="1C1B19"/>
          <w:sz w:val="28"/>
          <w:szCs w:val="28"/>
        </w:rPr>
        <w:t xml:space="preserve">9. Integration and Day 1 readiness</w:t>
      </w:r>
    </w:p>
    <w:p>
      <w:pPr>
        <w:spacing w:after="160"/>
      </w:pPr>
      <w:r>
        <w:rPr>
          <w:rFonts w:ascii="Calibri" w:cs="Calibri" w:eastAsia="Calibri" w:hAnsi="Calibri"/>
          <w:color w:val="1C1B19"/>
          <w:sz w:val="21"/>
          <w:szCs w:val="21"/>
        </w:rPr>
        <w:t xml:space="preserve">Protect the work that creates revenue before integrating cost.</w:t>
      </w:r>
    </w:p>
    <w:p>
      <w:pPr>
        <w:spacing w:after="160"/>
      </w:pPr>
      <w:r>
        <w:rPr>
          <w:rFonts w:ascii="Calibri" w:cs="Calibri" w:eastAsia="Calibri" w:hAnsi="Calibri"/>
          <w:b/>
          <w:bCs/>
          <w:color w:val="1C1B19"/>
          <w:sz w:val="21"/>
          <w:szCs w:val="21"/>
        </w:rPr>
        <w:t xml:space="preserve">Workflows that must not break:</w:t>
      </w:r>
    </w:p>
    <w:p>
      <w:pPr>
        <w:pStyle w:val="ListParagraph"/>
        <w:numPr>
          <w:ilvl w:val="0"/>
          <w:numId w:val="2"/>
        </w:numPr>
        <w:spacing w:after="60"/>
      </w:pP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6B665E"/>
          <w:sz w:val="21"/>
          <w:szCs w:val="21"/>
        </w:rPr>
        <w:t xml:space="preserve">[ ]</w:t>
      </w:r>
    </w:p>
    <w:p>
      <w:pPr>
        <w:spacing w:after="80"/>
      </w:pPr>
    </w:p>
    <w:p>
      <w:pPr>
        <w:spacing w:after="160"/>
      </w:pPr>
      <w:r>
        <w:rPr>
          <w:rFonts w:ascii="Calibri" w:cs="Calibri" w:eastAsia="Calibri" w:hAnsi="Calibri"/>
          <w:b/>
          <w:bCs/>
          <w:color w:val="1C1B19"/>
          <w:sz w:val="21"/>
          <w:szCs w:val="21"/>
        </w:rPr>
        <w:t xml:space="preserve">Critical people / relationships to retain:</w:t>
      </w:r>
    </w:p>
    <w:p>
      <w:pPr>
        <w:pStyle w:val="ListParagraph"/>
        <w:numPr>
          <w:ilvl w:val="0"/>
          <w:numId w:val="2"/>
        </w:numPr>
        <w:spacing w:after="60"/>
      </w:pP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6B665E"/>
          <w:sz w:val="21"/>
          <w:szCs w:val="21"/>
        </w:rPr>
        <w:t xml:space="preserve">[ ]</w:t>
      </w:r>
    </w:p>
    <w:p>
      <w:pPr>
        <w:spacing w:after="80"/>
      </w:pPr>
    </w:p>
    <w:p>
      <w:pPr>
        <w:spacing w:after="160"/>
      </w:pPr>
      <w:r>
        <w:rPr>
          <w:rFonts w:ascii="Calibri" w:cs="Calibri" w:eastAsia="Calibri" w:hAnsi="Calibri"/>
          <w:b/>
          <w:bCs/>
          <w:color w:val="1C1B19"/>
          <w:sz w:val="21"/>
          <w:szCs w:val="21"/>
        </w:rPr>
        <w:t xml:space="preserve">Day 1 conditions:</w:t>
      </w:r>
    </w:p>
    <w:p>
      <w:pPr>
        <w:pStyle w:val="ListParagraph"/>
        <w:numPr>
          <w:ilvl w:val="0"/>
          <w:numId w:val="2"/>
        </w:numPr>
        <w:spacing w:after="60"/>
      </w:pPr>
      <w:r>
        <w:rPr>
          <w:rFonts w:ascii="Calibri" w:cs="Calibri" w:eastAsia="Calibri" w:hAnsi="Calibri"/>
          <w:color w:val="1C1B19"/>
          <w:sz w:val="21"/>
          <w:szCs w:val="21"/>
        </w:rPr>
        <w:t xml:space="preserve">Customer continuity: </w:t>
      </w: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1C1B19"/>
          <w:sz w:val="21"/>
          <w:szCs w:val="21"/>
        </w:rPr>
        <w:t xml:space="preserve">Employee leadership / authority: </w:t>
      </w: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1C1B19"/>
          <w:sz w:val="21"/>
          <w:szCs w:val="21"/>
        </w:rPr>
        <w:t xml:space="preserve">Payroll, billing, collections and cash controls: </w:t>
      </w: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1C1B19"/>
          <w:sz w:val="21"/>
          <w:szCs w:val="21"/>
        </w:rPr>
        <w:t xml:space="preserve">Systems and access: </w:t>
      </w: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1C1B19"/>
          <w:sz w:val="21"/>
          <w:szCs w:val="21"/>
        </w:rPr>
        <w:t xml:space="preserve">Contracts / licences / consents: </w:t>
      </w:r>
      <w:r>
        <w:rPr>
          <w:rFonts w:ascii="Calibri" w:cs="Calibri" w:eastAsia="Calibri" w:hAnsi="Calibri"/>
          <w:color w:val="6B665E"/>
          <w:sz w:val="21"/>
          <w:szCs w:val="21"/>
        </w:rPr>
        <w:t xml:space="preserve">[ ]</w:t>
      </w:r>
    </w:p>
    <w:p>
      <w:pPr>
        <w:pStyle w:val="ListParagraph"/>
        <w:numPr>
          <w:ilvl w:val="0"/>
          <w:numId w:val="2"/>
        </w:numPr>
        <w:spacing w:after="60"/>
      </w:pPr>
      <w:r>
        <w:rPr>
          <w:rFonts w:ascii="Calibri" w:cs="Calibri" w:eastAsia="Calibri" w:hAnsi="Calibri"/>
          <w:color w:val="1C1B19"/>
          <w:sz w:val="21"/>
          <w:szCs w:val="21"/>
        </w:rPr>
        <w:t xml:space="preserve">Decision rights / exception handling: </w:t>
      </w:r>
      <w:r>
        <w:rPr>
          <w:rFonts w:ascii="Calibri" w:cs="Calibri" w:eastAsia="Calibri" w:hAnsi="Calibri"/>
          <w:color w:val="6B665E"/>
          <w:sz w:val="21"/>
          <w:szCs w:val="21"/>
        </w:rPr>
        <w:t xml:space="preserve">[ ]</w:t>
      </w:r>
    </w:p>
    <w:p>
      <w:pPr>
        <w:spacing w:after="80"/>
      </w:pPr>
    </w:p>
    <w:p>
      <w:pPr>
        <w:pStyle w:val="Heading1"/>
        <w:keepNext/>
        <w:pBdr>
          <w:bottom w:val="single" w:color="B9B3A7" w:sz="4" w:space="4"/>
        </w:pBdr>
        <w:spacing w:after="120" w:before="320"/>
      </w:pPr>
      <w:r>
        <w:rPr>
          <w:rFonts w:ascii="Georgia" w:cs="Georgia" w:eastAsia="Georgia" w:hAnsi="Georgia"/>
          <w:color w:val="1C1B19"/>
          <w:sz w:val="28"/>
          <w:szCs w:val="28"/>
        </w:rPr>
        <w:t xml:space="preserve">10. Conditions to approval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84"/>
        <w:gridCol w:w="2059"/>
        <w:gridCol w:w="1083"/>
        <w:gridCol w:w="2384"/>
        <w:gridCol w:w="2170"/>
      </w:tblGrid>
      <w:tr>
        <w:trPr>
          <w:tblHeader/>
        </w:trPr>
        <w:tc>
          <w:tcPr>
            <w:tcW w:type="dxa" w:w="2384"/>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Condition</w:t>
            </w:r>
          </w:p>
        </w:tc>
        <w:tc>
          <w:tcPr>
            <w:tcW w:type="dxa" w:w="2059"/>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Why it matters</w:t>
            </w:r>
          </w:p>
        </w:tc>
        <w:tc>
          <w:tcPr>
            <w:tcW w:type="dxa" w:w="1083"/>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Owner</w:t>
            </w:r>
          </w:p>
        </w:tc>
        <w:tc>
          <w:tcPr>
            <w:tcW w:type="dxa" w:w="2384"/>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Evidence required</w:t>
            </w:r>
          </w:p>
        </w:tc>
        <w:tc>
          <w:tcPr>
            <w:tcW w:type="dxa" w:w="217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Deadline / gate</w:t>
            </w:r>
          </w:p>
        </w:tc>
      </w:tr>
      <w:tr>
        <w:trPr>
          <w:trHeight w:val="440" w:hRule="atLeast"/>
        </w:trPr>
        <w:tc>
          <w:tcPr>
            <w:tcW w:type="dxa" w:w="238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1.</w:t>
            </w:r>
          </w:p>
        </w:tc>
        <w:tc>
          <w:tcPr>
            <w:tcW w:type="dxa" w:w="205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083"/>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38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17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238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2.</w:t>
            </w:r>
          </w:p>
        </w:tc>
        <w:tc>
          <w:tcPr>
            <w:tcW w:type="dxa" w:w="205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083"/>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38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17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238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3.</w:t>
            </w:r>
          </w:p>
        </w:tc>
        <w:tc>
          <w:tcPr>
            <w:tcW w:type="dxa" w:w="2059"/>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083"/>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384"/>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17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bl>
    <w:p>
      <w:pPr>
        <w:spacing w:after="120"/>
      </w:pPr>
    </w:p>
    <w:p>
      <w:pPr>
        <w:pStyle w:val="Heading1"/>
        <w:keepNext/>
        <w:pBdr>
          <w:bottom w:val="single" w:color="B9B3A7" w:sz="4" w:space="4"/>
        </w:pBdr>
        <w:spacing w:after="120" w:before="320"/>
      </w:pPr>
      <w:r>
        <w:rPr>
          <w:rFonts w:ascii="Georgia" w:cs="Georgia" w:eastAsia="Georgia" w:hAnsi="Georgia"/>
          <w:color w:val="1C1B19"/>
          <w:sz w:val="28"/>
          <w:szCs w:val="28"/>
        </w:rPr>
        <w:t xml:space="preserve">11. Recommendation and decision record</w:t>
      </w:r>
    </w:p>
    <w:p>
      <w:pPr>
        <w:spacing w:after="160"/>
      </w:pPr>
      <w:r>
        <w:rPr>
          <w:rFonts w:ascii="Calibri" w:cs="Calibri" w:eastAsia="Calibri" w:hAnsi="Calibri"/>
          <w:b/>
          <w:bCs/>
          <w:color w:val="1C1B19"/>
          <w:sz w:val="21"/>
          <w:szCs w:val="21"/>
        </w:rPr>
        <w:t xml:space="preserve">Recommendation:</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[Approve / Approve with conditions / Hold / Decline]</w:t>
      </w:r>
    </w:p>
    <w:p>
      <w:pPr>
        <w:spacing w:after="160"/>
      </w:pPr>
      <w:r>
        <w:rPr>
          <w:rFonts w:ascii="Calibri" w:cs="Calibri" w:eastAsia="Calibri" w:hAnsi="Calibri"/>
          <w:b/>
          <w:bCs/>
          <w:color w:val="1C1B19"/>
          <w:sz w:val="21"/>
          <w:szCs w:val="21"/>
        </w:rPr>
        <w:t xml:space="preserve">Approved price / ceiling:</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160"/>
      </w:pPr>
      <w:r>
        <w:rPr>
          <w:rFonts w:ascii="Calibri" w:cs="Calibri" w:eastAsia="Calibri" w:hAnsi="Calibri"/>
          <w:b/>
          <w:bCs/>
          <w:color w:val="1C1B19"/>
          <w:sz w:val="21"/>
          <w:szCs w:val="21"/>
        </w:rPr>
        <w:t xml:space="preserve">Conditions:</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160"/>
      </w:pPr>
      <w:r>
        <w:rPr>
          <w:rFonts w:ascii="Calibri" w:cs="Calibri" w:eastAsia="Calibri" w:hAnsi="Calibri"/>
          <w:b/>
          <w:bCs/>
          <w:color w:val="1C1B19"/>
          <w:sz w:val="21"/>
          <w:szCs w:val="21"/>
        </w:rPr>
        <w:t xml:space="preserve">What would reopen the decision:</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40"/>
      </w:pPr>
      <w:r>
        <w:rPr>
          <w:rFonts w:ascii="Calibri" w:cs="Calibri" w:eastAsia="Calibri" w:hAnsi="Calibri"/>
          <w:b/>
          <w:bCs/>
          <w:color w:val="1C1B19"/>
          <w:sz w:val="21"/>
          <w:szCs w:val="21"/>
        </w:rPr>
        <w:t xml:space="preserve">Committee decision:</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40"/>
      </w:pPr>
      <w:r>
        <w:rPr>
          <w:rFonts w:ascii="Calibri" w:cs="Calibri" w:eastAsia="Calibri" w:hAnsi="Calibri"/>
          <w:b/>
          <w:bCs/>
          <w:color w:val="1C1B19"/>
          <w:sz w:val="21"/>
          <w:szCs w:val="21"/>
        </w:rPr>
        <w:t xml:space="preserve">Date:</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spacing w:after="160"/>
      </w:pPr>
      <w:r>
        <w:rPr>
          <w:rFonts w:ascii="Calibri" w:cs="Calibri" w:eastAsia="Calibri" w:hAnsi="Calibri"/>
          <w:b/>
          <w:bCs/>
          <w:color w:val="1C1B19"/>
          <w:sz w:val="21"/>
          <w:szCs w:val="21"/>
        </w:rPr>
        <w:t xml:space="preserve">Decision owner:</w:t>
      </w:r>
      <w:r>
        <w:rPr>
          <w:rFonts w:ascii="Calibri" w:cs="Calibri" w:eastAsia="Calibri" w:hAnsi="Calibri"/>
          <w:color w:val="1C1B19"/>
          <w:sz w:val="21"/>
          <w:szCs w:val="21"/>
        </w:rPr>
        <w:t xml:space="preserve"> </w:t>
      </w:r>
      <w:r>
        <w:rPr>
          <w:rFonts w:ascii="Calibri" w:cs="Calibri" w:eastAsia="Calibri" w:hAnsi="Calibri"/>
          <w:color w:val="6B665E"/>
          <w:sz w:val="21"/>
          <w:szCs w:val="21"/>
        </w:rPr>
        <w:t xml:space="preserve">[ ]</w:t>
      </w:r>
    </w:p>
    <w:p>
      <w:pPr>
        <w:pStyle w:val="Heading1"/>
        <w:keepNext/>
        <w:pBdr>
          <w:bottom w:val="single" w:color="B9B3A7" w:sz="4" w:space="4"/>
        </w:pBdr>
        <w:spacing w:after="120" w:before="320"/>
      </w:pPr>
      <w:r>
        <w:rPr>
          <w:rFonts w:ascii="Georgia" w:cs="Georgia" w:eastAsia="Georgia" w:hAnsi="Georgia"/>
          <w:color w:val="1C1B19"/>
          <w:sz w:val="28"/>
          <w:szCs w:val="28"/>
        </w:rPr>
        <w:t xml:space="preserve">12. Source and assumption register</w:t>
      </w:r>
    </w:p>
    <w:p>
      <w:pPr>
        <w:spacing w:after="160"/>
      </w:pPr>
      <w:r>
        <w:rPr>
          <w:rFonts w:ascii="Calibri" w:cs="Calibri" w:eastAsia="Calibri" w:hAnsi="Calibri"/>
          <w:color w:val="1C1B19"/>
          <w:sz w:val="21"/>
          <w:szCs w:val="21"/>
        </w:rPr>
        <w:t xml:space="preserve">Separate reported facts, management claims, model outputs, buyer judgment, and assumptions.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1"/>
        <w:gridCol w:w="3360"/>
        <w:gridCol w:w="1680"/>
        <w:gridCol w:w="1326"/>
        <w:gridCol w:w="2123"/>
      </w:tblGrid>
      <w:tr>
        <w:trPr>
          <w:tblHeader/>
        </w:trPr>
        <w:tc>
          <w:tcPr>
            <w:tcW w:type="dxa" w:w="1591"/>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Item</w:t>
            </w:r>
          </w:p>
        </w:tc>
        <w:tc>
          <w:tcPr>
            <w:tcW w:type="dxa" w:w="336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Type</w:t>
            </w:r>
          </w:p>
        </w:tc>
        <w:tc>
          <w:tcPr>
            <w:tcW w:type="dxa" w:w="1680"/>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Source / model</w:t>
            </w:r>
          </w:p>
        </w:tc>
        <w:tc>
          <w:tcPr>
            <w:tcW w:type="dxa" w:w="1326"/>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As-of date</w:t>
            </w:r>
          </w:p>
        </w:tc>
        <w:tc>
          <w:tcPr>
            <w:tcW w:type="dxa" w:w="2123"/>
            <w:tcBorders>
              <w:top w:val="single" w:color="B9B3A7" w:sz="4"/>
              <w:left w:val="single" w:color="B9B3A7" w:sz="4"/>
              <w:bottom w:val="single" w:color="B9B3A7" w:sz="4"/>
              <w:right w:val="single" w:color="B9B3A7" w:sz="4"/>
            </w:tcBorders>
            <w:shd w:fill="EFEBE3" w:color="auto" w:val="clear"/>
            <w:tcMar>
              <w:top w:type="dxa" w:w="80"/>
              <w:left w:type="dxa" w:w="100"/>
              <w:bottom w:type="dxa" w:w="80"/>
              <w:right w:type="dxa" w:w="100"/>
            </w:tcMar>
          </w:tcPr>
          <w:p>
            <w:pPr>
              <w:jc w:val="left"/>
            </w:pPr>
            <w:r>
              <w:rPr>
                <w:rFonts w:ascii="Calibri" w:cs="Calibri" w:eastAsia="Calibri" w:hAnsi="Calibri"/>
                <w:b/>
                <w:bCs/>
                <w:color w:val="1C1B19"/>
                <w:sz w:val="19"/>
                <w:szCs w:val="19"/>
              </w:rPr>
              <w:t xml:space="preserve">Status / limitation</w:t>
            </w:r>
          </w:p>
        </w:tc>
      </w:tr>
      <w:tr>
        <w:trPr>
          <w:trHeight w:val="440" w:hRule="atLeast"/>
        </w:trPr>
        <w:tc>
          <w:tcPr>
            <w:tcW w:type="dxa" w:w="1591"/>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1.</w:t>
            </w:r>
          </w:p>
        </w:tc>
        <w:tc>
          <w:tcPr>
            <w:tcW w:type="dxa" w:w="33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Reported fact / Claim / Model / Judgment / Assumption</w:t>
            </w:r>
          </w:p>
        </w:tc>
        <w:tc>
          <w:tcPr>
            <w:tcW w:type="dxa" w:w="168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32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123"/>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1591"/>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2.</w:t>
            </w:r>
          </w:p>
        </w:tc>
        <w:tc>
          <w:tcPr>
            <w:tcW w:type="dxa" w:w="33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68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32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123"/>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r>
        <w:trPr>
          <w:trHeight w:val="440" w:hRule="atLeast"/>
        </w:trPr>
        <w:tc>
          <w:tcPr>
            <w:tcW w:type="dxa" w:w="1591"/>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r>
              <w:rPr>
                <w:rFonts w:ascii="Calibri" w:cs="Calibri" w:eastAsia="Calibri" w:hAnsi="Calibri"/>
                <w:b w:val="false"/>
                <w:bCs w:val="false"/>
                <w:color w:val="1C1B19"/>
                <w:sz w:val="20"/>
                <w:szCs w:val="20"/>
              </w:rPr>
              <w:t xml:space="preserve">3.</w:t>
            </w:r>
          </w:p>
        </w:tc>
        <w:tc>
          <w:tcPr>
            <w:tcW w:type="dxa" w:w="336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680"/>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1326"/>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c>
          <w:tcPr>
            <w:tcW w:type="dxa" w:w="2123"/>
            <w:tcBorders>
              <w:top w:val="single" w:color="B9B3A7" w:sz="4"/>
              <w:left w:val="single" w:color="B9B3A7" w:sz="4"/>
              <w:bottom w:val="single" w:color="B9B3A7" w:sz="4"/>
              <w:right w:val="single" w:color="B9B3A7" w:sz="4"/>
            </w:tcBorders>
            <w:tcMar>
              <w:top w:type="dxa" w:w="80"/>
              <w:left w:type="dxa" w:w="100"/>
              <w:bottom w:type="dxa" w:w="80"/>
              <w:right w:type="dxa" w:w="100"/>
            </w:tcMar>
          </w:tcPr>
          <w:p>
            <w:pPr>
              <w:jc w:val="left"/>
            </w:pPr>
          </w:p>
        </w:tc>
      </w:tr>
    </w:tbl>
    <w:p>
      <w:pPr>
        <w:spacing w:after="120"/>
      </w:pPr>
    </w:p>
    <w:p>
      <w:pPr>
        <w:pStyle w:val="Heading1"/>
        <w:keepNext/>
        <w:pBdr>
          <w:bottom w:val="single" w:color="B9B3A7" w:sz="4" w:space="4"/>
        </w:pBdr>
        <w:spacing w:after="120" w:before="320"/>
      </w:pPr>
      <w:r>
        <w:rPr>
          <w:rFonts w:ascii="Georgia" w:cs="Georgia" w:eastAsia="Georgia" w:hAnsi="Georgia"/>
          <w:color w:val="1C1B19"/>
          <w:sz w:val="28"/>
          <w:szCs w:val="28"/>
        </w:rPr>
        <w:t xml:space="preserve">Final quality check</w:t>
      </w:r>
    </w:p>
    <w:p>
      <w:pPr>
        <w:spacing w:after="160"/>
      </w:pPr>
      <w:r>
        <w:rPr>
          <w:rFonts w:ascii="Calibri" w:cs="Calibri" w:eastAsia="Calibri" w:hAnsi="Calibri"/>
          <w:color w:val="1C1B19"/>
          <w:sz w:val="21"/>
          <w:szCs w:val="21"/>
        </w:rPr>
        <w:t xml:space="preserve">Before circulation, confirm that:</w:t>
      </w:r>
    </w:p>
    <w:p>
      <w:pPr>
        <w:pStyle w:val="ListParagraph"/>
        <w:numPr>
          <w:ilvl w:val="0"/>
          <w:numId w:val="2"/>
        </w:numPr>
        <w:spacing w:after="60"/>
      </w:pPr>
      <w:r>
        <w:rPr>
          <w:rFonts w:ascii="Calibri" w:cs="Calibri" w:eastAsia="Calibri" w:hAnsi="Calibri"/>
          <w:color w:val="1C1B19"/>
          <w:sz w:val="21"/>
          <w:szCs w:val="21"/>
        </w:rPr>
        <w:t xml:space="preserve">The requested decision is clear on page one.</w:t>
      </w:r>
    </w:p>
    <w:p>
      <w:pPr>
        <w:pStyle w:val="ListParagraph"/>
        <w:numPr>
          <w:ilvl w:val="0"/>
          <w:numId w:val="2"/>
        </w:numPr>
        <w:spacing w:after="60"/>
      </w:pPr>
      <w:r>
        <w:rPr>
          <w:rFonts w:ascii="Calibri" w:cs="Calibri" w:eastAsia="Calibri" w:hAnsi="Calibri"/>
          <w:color w:val="1C1B19"/>
          <w:sz w:val="21"/>
          <w:szCs w:val="21"/>
        </w:rPr>
        <w:t xml:space="preserve">The 3–5 load-bearing claims have evidence and disconfirmers.</w:t>
      </w:r>
    </w:p>
    <w:p>
      <w:pPr>
        <w:pStyle w:val="ListParagraph"/>
        <w:numPr>
          <w:ilvl w:val="0"/>
          <w:numId w:val="2"/>
        </w:numPr>
        <w:spacing w:after="60"/>
      </w:pPr>
      <w:r>
        <w:rPr>
          <w:rFonts w:ascii="Calibri" w:cs="Calibri" w:eastAsia="Calibri" w:hAnsi="Calibri"/>
          <w:color w:val="1C1B19"/>
          <w:sz w:val="21"/>
          <w:szCs w:val="21"/>
        </w:rPr>
        <w:t xml:space="preserve">Standalone value is separate from buyer-created value.</w:t>
      </w:r>
    </w:p>
    <w:p>
      <w:pPr>
        <w:pStyle w:val="ListParagraph"/>
        <w:numPr>
          <w:ilvl w:val="0"/>
          <w:numId w:val="2"/>
        </w:numPr>
        <w:spacing w:after="60"/>
      </w:pPr>
      <w:r>
        <w:rPr>
          <w:rFonts w:ascii="Calibri" w:cs="Calibri" w:eastAsia="Calibri" w:hAnsi="Calibri"/>
          <w:color w:val="1C1B19"/>
          <w:sz w:val="21"/>
          <w:szCs w:val="21"/>
        </w:rPr>
        <w:t xml:space="preserve">Price, funding and downside use consistent definitions.</w:t>
      </w:r>
    </w:p>
    <w:p>
      <w:pPr>
        <w:pStyle w:val="ListParagraph"/>
        <w:numPr>
          <w:ilvl w:val="0"/>
          <w:numId w:val="2"/>
        </w:numPr>
        <w:spacing w:after="60"/>
      </w:pPr>
      <w:r>
        <w:rPr>
          <w:rFonts w:ascii="Calibri" w:cs="Calibri" w:eastAsia="Calibri" w:hAnsi="Calibri"/>
          <w:color w:val="1C1B19"/>
          <w:sz w:val="21"/>
          <w:szCs w:val="21"/>
        </w:rPr>
        <w:t xml:space="preserve">Material diligence issues have an Investigate / Price / Protect / Walk consequence.</w:t>
      </w:r>
    </w:p>
    <w:p>
      <w:pPr>
        <w:pStyle w:val="ListParagraph"/>
        <w:numPr>
          <w:ilvl w:val="0"/>
          <w:numId w:val="2"/>
        </w:numPr>
        <w:spacing w:after="60"/>
      </w:pPr>
      <w:r>
        <w:rPr>
          <w:rFonts w:ascii="Calibri" w:cs="Calibri" w:eastAsia="Calibri" w:hAnsi="Calibri"/>
          <w:color w:val="1C1B19"/>
          <w:sz w:val="21"/>
          <w:szCs w:val="21"/>
        </w:rPr>
        <w:t xml:space="preserve">Integration risks are visible before signing, not handed off as a generic post-close problem.</w:t>
      </w:r>
    </w:p>
    <w:p>
      <w:pPr>
        <w:pStyle w:val="ListParagraph"/>
        <w:numPr>
          <w:ilvl w:val="0"/>
          <w:numId w:val="2"/>
        </w:numPr>
        <w:spacing w:after="60"/>
      </w:pPr>
      <w:r>
        <w:rPr>
          <w:rFonts w:ascii="Calibri" w:cs="Calibri" w:eastAsia="Calibri" w:hAnsi="Calibri"/>
          <w:color w:val="1C1B19"/>
          <w:sz w:val="21"/>
          <w:szCs w:val="21"/>
        </w:rPr>
        <w:t xml:space="preserve">The private hard ceiling has not moved merely because the process became competitive or expensive.</w:t>
      </w:r>
    </w:p>
    <w:p>
      <w:pPr>
        <w:pStyle w:val="ListParagraph"/>
        <w:numPr>
          <w:ilvl w:val="0"/>
          <w:numId w:val="2"/>
        </w:numPr>
        <w:spacing w:after="60"/>
      </w:pPr>
      <w:r>
        <w:rPr>
          <w:rFonts w:ascii="Calibri" w:cs="Calibri" w:eastAsia="Calibri" w:hAnsi="Calibri"/>
          <w:color w:val="1C1B19"/>
          <w:sz w:val="21"/>
          <w:szCs w:val="21"/>
        </w:rPr>
        <w:t xml:space="preserve">Every material number is tied to a source, model output, or explicit assumption.</w:t>
      </w:r>
    </w:p>
    <w:p>
      <w:pPr>
        <w:pStyle w:val="ListParagraph"/>
        <w:numPr>
          <w:ilvl w:val="0"/>
          <w:numId w:val="2"/>
        </w:numPr>
        <w:spacing w:after="60"/>
      </w:pPr>
      <w:r>
        <w:rPr>
          <w:rFonts w:ascii="Calibri" w:cs="Calibri" w:eastAsia="Calibri" w:hAnsi="Calibri"/>
          <w:color w:val="1C1B19"/>
          <w:sz w:val="21"/>
          <w:szCs w:val="21"/>
        </w:rPr>
        <w:t xml:space="preserve">Legal, tax, accounting and fairness matters are assigned to the appropriate advisers.</w:t>
      </w:r>
    </w:p>
    <w:p>
      <w:pPr>
        <w:spacing w:after="80"/>
      </w:pPr>
    </w:p>
    <w:p>
      <w:pPr>
        <w:pBdr>
          <w:bottom w:val="single" w:color="B9B3A7" w:sz="4" w:space="4"/>
        </w:pBdr>
        <w:spacing w:after="120" w:before="240"/>
      </w:pPr>
    </w:p>
    <w:p>
      <w:pPr>
        <w:spacing w:after="160"/>
      </w:pPr>
      <w:r>
        <w:rPr>
          <w:rFonts w:ascii="Calibri" w:cs="Calibri" w:eastAsia="Calibri" w:hAnsi="Calibri"/>
          <w:color w:val="1C1B19"/>
          <w:sz w:val="21"/>
          <w:szCs w:val="21"/>
        </w:rPr>
        <w:t xml:space="preserve">This is an educational working template, not legal, tax, accounting or fairness advice. Adapt it to the transaction, approval process and evidence available.</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6B665E"/>
        <w:sz w:val="16"/>
        <w:szCs w:val="16"/>
      </w:rPr>
      <w:t xml:space="preserve">Mike Ye · M&amp;A Investment Committee Memo Template v1.0 · mikeye.com   </w:t>
    </w:r>
    <w:r>
      <w:rPr>
        <w:rFonts w:ascii="Calibri" w:cs="Calibri" w:eastAsia="Calibri" w:hAnsi="Calibri"/>
        <w:color w:val="6B665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B19"/>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M&amp;A Investment Committee Memo Template</dc:title>
  <dc:creator>Mike Ye</dc:creator>
  <cp:lastModifiedBy>Un-named</cp:lastModifiedBy>
  <cp:revision>1</cp:revision>
  <dcterms:created xsi:type="dcterms:W3CDTF">2026-09-29T00:28:03.769Z</dcterms:created>
  <dcterms:modified xsi:type="dcterms:W3CDTF">2026-09-29T00:28:03.770Z</dcterms:modified>
</cp:coreProperties>
</file>

<file path=docProps/custom.xml><?xml version="1.0" encoding="utf-8"?>
<Properties xmlns="http://schemas.openxmlformats.org/officeDocument/2006/custom-properties" xmlns:vt="http://schemas.openxmlformats.org/officeDocument/2006/docPropsVTypes"/>
</file>